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57" w:lineRule="auto"/>
      </w:pPr>
      <w:r>
        <w:rPr>
          <w:rFonts w:ascii="Arial" w:hAnsi="Arial" w:eastAsia="Microsoft YaHei"/>
          <w:b/>
          <w:color w:val="1F435B"/>
          <w:sz w:val="34"/>
        </w:rPr>
        <w:t>WEI FENG</w:t>
      </w:r>
    </w:p>
    <w:p>
      <w:pPr>
        <w:keepNext w:val="0"/>
        <w:spacing w:before="0" w:after="50" w:line="257" w:lineRule="auto"/>
      </w:pPr>
      <w:r>
        <w:rPr>
          <w:rFonts w:ascii="Arial" w:hAnsi="Arial" w:eastAsia="Microsoft YaHei"/>
          <w:b w:val="0"/>
          <w:color w:val="1B2837"/>
          <w:sz w:val="17"/>
        </w:rPr>
        <w:t>Ph.D. Student in Architecture | AI for Built Heritage</w:t>
      </w:r>
    </w:p>
    <w:p>
      <w:pPr>
        <w:keepNext w:val="0"/>
        <w:spacing w:before="0" w:after="50" w:line="257" w:lineRule="auto"/>
      </w:pPr>
      <w:r>
        <w:rPr>
          <w:rFonts w:ascii="Arial" w:hAnsi="Arial" w:eastAsia="Microsoft YaHei"/>
          <w:b w:val="0"/>
          <w:color w:val="1B2837"/>
          <w:sz w:val="17"/>
        </w:rPr>
        <w:t>Laboratory of Architectural Algorithms &amp; Applications (Lab AAA), School of Architecture, Southeast University</w:t>
      </w:r>
      <w:r>
        <w:br/>
      </w:r>
      <w:r>
        <w:rPr>
          <w:rFonts w:ascii="Arial" w:hAnsi="Arial" w:eastAsia="Microsoft YaHei"/>
          <w:b w:val="0"/>
          <w:color w:val="1B2837"/>
          <w:sz w:val="17"/>
        </w:rPr>
        <w:t>Email: wei.feng@seu.edu.cn | Tel: (+86) 18851667823</w:t>
      </w:r>
    </w:p>
    <w:p>
      <w:pPr>
        <w:keepNext/>
        <w:spacing w:before="104" w:after="72" w:line="240" w:lineRule="auto"/>
        <w:pBdr>
          <w:bottom w:val="single" w:sz="4" w:color="D9E2E9" w:space="4"/>
        </w:pBdr>
      </w:pPr>
      <w:r>
        <w:rPr>
          <w:rFonts w:ascii="Arial" w:hAnsi="Arial" w:eastAsia="Microsoft YaHei"/>
          <w:b/>
          <w:color w:val="1F435B"/>
          <w:sz w:val="18"/>
        </w:rPr>
        <w:t>RESEARCH PROFILE</w:t>
      </w:r>
    </w:p>
    <w:p>
      <w:pPr>
        <w:keepNext w:val="0"/>
        <w:spacing w:before="0" w:after="50" w:line="257" w:lineRule="auto"/>
      </w:pPr>
      <w:r>
        <w:rPr>
          <w:rFonts w:ascii="Arial" w:hAnsi="Arial" w:eastAsia="Microsoft YaHei"/>
          <w:b w:val="0"/>
          <w:color w:val="1B2837"/>
          <w:sz w:val="17"/>
        </w:rPr>
        <w:t>Research in AI approaches to understanding built heritage, particularly through graph learning and temporal knowledge representation to investigate the spatio-temporal organization and transformation of historic built environments.</w:t>
      </w:r>
    </w:p>
    <w:p>
      <w:pPr>
        <w:keepNext/>
        <w:spacing w:before="104" w:after="72" w:line="240" w:lineRule="auto"/>
        <w:pBdr>
          <w:bottom w:val="single" w:sz="4" w:color="D9E2E9" w:space="4"/>
        </w:pBdr>
      </w:pPr>
      <w:r>
        <w:rPr>
          <w:rFonts w:ascii="Arial" w:hAnsi="Arial" w:eastAsia="Microsoft YaHei"/>
          <w:b/>
          <w:color w:val="1F435B"/>
          <w:sz w:val="18"/>
        </w:rPr>
        <w:t>EDUCATION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013"/>
        <w:gridCol w:w="8079"/>
      </w:tblGrid>
      <w:tr>
        <w:trPr>
          <w:cantSplit/>
        </w:trPr>
        <w:tc>
          <w:tcPr>
            <w:tcW w:type="dxa" w:w="2013"/>
            <w:vAlign w:val="top"/>
            <w:tcMar>
              <w:top w:w="2" w:type="dxa"/>
              <w:start w:w="0" w:type="dxa"/>
              <w:bottom w:w="8" w:type="dxa"/>
              <w:end w:w="60" w:type="dxa"/>
            </w:tcMar>
          </w:tcPr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/>
                <w:color w:val="64717B"/>
                <w:sz w:val="15"/>
              </w:rPr>
              <w:t>Sep 2024 – Present</w:t>
            </w:r>
          </w:p>
        </w:tc>
        <w:tc>
          <w:tcPr>
            <w:tcW w:type="dxa" w:w="8079"/>
            <w:vAlign w:val="top"/>
            <w:tcMar>
              <w:top w:w="2" w:type="dxa"/>
              <w:start w:w="0" w:type="dxa"/>
              <w:bottom w:w="8" w:type="dxa"/>
              <w:end w:w="0" w:type="dxa"/>
            </w:tcMar>
          </w:tcPr>
          <w:p>
            <w:pPr>
              <w:keepNext/>
              <w:spacing w:before="0" w:after="20" w:line="259" w:lineRule="auto"/>
            </w:pPr>
            <w:r>
              <w:rPr>
                <w:rFonts w:ascii="Arial" w:hAnsi="Arial" w:eastAsia="Microsoft YaHei"/>
                <w:b/>
                <w:color w:val="1B2837"/>
                <w:sz w:val="17"/>
              </w:rPr>
              <w:t>Southeast University, School of Architecture</w:t>
            </w:r>
          </w:p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 w:val="0"/>
                <w:color w:val="64717B"/>
                <w:sz w:val="16"/>
              </w:rPr>
              <w:t>Ph.D. Student in Architecture (Direct-entry)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013"/>
        <w:gridCol w:w="8079"/>
      </w:tblGrid>
      <w:tr>
        <w:trPr>
          <w:cantSplit/>
        </w:trPr>
        <w:tc>
          <w:tcPr>
            <w:tcW w:type="dxa" w:w="2013"/>
            <w:vAlign w:val="top"/>
            <w:tcMar>
              <w:top w:w="2" w:type="dxa"/>
              <w:start w:w="0" w:type="dxa"/>
              <w:bottom w:w="8" w:type="dxa"/>
              <w:end w:w="60" w:type="dxa"/>
            </w:tcMar>
          </w:tcPr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/>
                <w:color w:val="64717B"/>
                <w:sz w:val="15"/>
              </w:rPr>
              <w:t>Feb 2024 – Jul 2024</w:t>
            </w:r>
          </w:p>
        </w:tc>
        <w:tc>
          <w:tcPr>
            <w:tcW w:type="dxa" w:w="8079"/>
            <w:vAlign w:val="top"/>
            <w:tcMar>
              <w:top w:w="2" w:type="dxa"/>
              <w:start w:w="0" w:type="dxa"/>
              <w:bottom w:w="8" w:type="dxa"/>
              <w:end w:w="0" w:type="dxa"/>
            </w:tcMar>
          </w:tcPr>
          <w:p>
            <w:pPr>
              <w:keepNext/>
              <w:spacing w:before="0" w:after="20" w:line="259" w:lineRule="auto"/>
            </w:pPr>
            <w:r>
              <w:rPr>
                <w:rFonts w:ascii="Arial" w:hAnsi="Arial" w:eastAsia="Microsoft YaHei"/>
                <w:b/>
                <w:color w:val="1B2837"/>
                <w:sz w:val="17"/>
              </w:rPr>
              <w:t>Politecnico di Torino, Department of Architecture and Design, Italy</w:t>
            </w:r>
          </w:p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 w:val="0"/>
                <w:color w:val="64717B"/>
                <w:sz w:val="16"/>
              </w:rPr>
              <w:t>Exchange Student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013"/>
        <w:gridCol w:w="8079"/>
      </w:tblGrid>
      <w:tr>
        <w:trPr>
          <w:cantSplit/>
        </w:trPr>
        <w:tc>
          <w:tcPr>
            <w:tcW w:type="dxa" w:w="2013"/>
            <w:vAlign w:val="top"/>
            <w:tcMar>
              <w:top w:w="2" w:type="dxa"/>
              <w:start w:w="0" w:type="dxa"/>
              <w:bottom w:w="8" w:type="dxa"/>
              <w:end w:w="60" w:type="dxa"/>
            </w:tcMar>
          </w:tcPr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/>
                <w:color w:val="64717B"/>
                <w:sz w:val="15"/>
              </w:rPr>
              <w:t>Aug 2019 – Jun 2024</w:t>
            </w:r>
          </w:p>
        </w:tc>
        <w:tc>
          <w:tcPr>
            <w:tcW w:type="dxa" w:w="8079"/>
            <w:vAlign w:val="top"/>
            <w:tcMar>
              <w:top w:w="2" w:type="dxa"/>
              <w:start w:w="0" w:type="dxa"/>
              <w:bottom w:w="8" w:type="dxa"/>
              <w:end w:w="0" w:type="dxa"/>
            </w:tcMar>
          </w:tcPr>
          <w:p>
            <w:pPr>
              <w:keepNext/>
              <w:spacing w:before="0" w:after="20" w:line="259" w:lineRule="auto"/>
            </w:pPr>
            <w:r>
              <w:rPr>
                <w:rFonts w:ascii="Arial" w:hAnsi="Arial" w:eastAsia="Microsoft YaHei"/>
                <w:b/>
                <w:color w:val="1B2837"/>
                <w:sz w:val="17"/>
              </w:rPr>
              <w:t>Southeast University, School of Architecture</w:t>
            </w:r>
          </w:p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 w:val="0"/>
                <w:color w:val="64717B"/>
                <w:sz w:val="16"/>
              </w:rPr>
              <w:t>Bachelor of Architecture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013"/>
        <w:gridCol w:w="8079"/>
      </w:tblGrid>
      <w:tr>
        <w:trPr>
          <w:cantSplit/>
        </w:trPr>
        <w:tc>
          <w:tcPr>
            <w:tcW w:type="dxa" w:w="2013"/>
            <w:vAlign w:val="top"/>
            <w:tcMar>
              <w:top w:w="2" w:type="dxa"/>
              <w:start w:w="0" w:type="dxa"/>
              <w:bottom w:w="8" w:type="dxa"/>
              <w:end w:w="60" w:type="dxa"/>
            </w:tcMar>
          </w:tcPr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/>
                <w:color w:val="64717B"/>
                <w:sz w:val="15"/>
              </w:rPr>
              <w:t>Sep 2018 – Aug 2019</w:t>
            </w:r>
          </w:p>
        </w:tc>
        <w:tc>
          <w:tcPr>
            <w:tcW w:type="dxa" w:w="8079"/>
            <w:vAlign w:val="top"/>
            <w:tcMar>
              <w:top w:w="2" w:type="dxa"/>
              <w:start w:w="0" w:type="dxa"/>
              <w:bottom w:w="8" w:type="dxa"/>
              <w:end w:w="0" w:type="dxa"/>
            </w:tcMar>
          </w:tcPr>
          <w:p>
            <w:pPr>
              <w:keepNext/>
              <w:spacing w:before="0" w:after="20" w:line="259" w:lineRule="auto"/>
            </w:pPr>
            <w:r>
              <w:rPr>
                <w:rFonts w:ascii="Arial" w:hAnsi="Arial" w:eastAsia="Microsoft YaHei"/>
                <w:b/>
                <w:color w:val="1B2837"/>
                <w:sz w:val="17"/>
              </w:rPr>
              <w:t>Southeast University, Chien-Shiung Wu College</w:t>
            </w:r>
          </w:p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 w:val="0"/>
                <w:color w:val="64717B"/>
                <w:sz w:val="16"/>
              </w:rPr>
              <w:t>Engineering Experimental Class</w:t>
            </w:r>
          </w:p>
        </w:tc>
      </w:tr>
    </w:tbl>
    <w:p>
      <w:pPr>
        <w:keepNext/>
        <w:spacing w:before="104" w:after="72" w:line="240" w:lineRule="auto"/>
        <w:pBdr>
          <w:bottom w:val="single" w:sz="4" w:color="D9E2E9" w:space="4"/>
        </w:pBdr>
      </w:pPr>
      <w:r>
        <w:rPr>
          <w:rFonts w:ascii="Arial" w:hAnsi="Arial" w:eastAsia="Microsoft YaHei"/>
          <w:b/>
          <w:color w:val="1F435B"/>
          <w:sz w:val="18"/>
        </w:rPr>
        <w:t>RESEARCH PROJECTS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013"/>
        <w:gridCol w:w="8079"/>
      </w:tblGrid>
      <w:tr>
        <w:trPr>
          <w:cantSplit/>
        </w:trPr>
        <w:tc>
          <w:tcPr>
            <w:tcW w:type="dxa" w:w="2013"/>
            <w:vAlign w:val="top"/>
            <w:tcMar>
              <w:top w:w="2" w:type="dxa"/>
              <w:start w:w="0" w:type="dxa"/>
              <w:bottom w:w="8" w:type="dxa"/>
              <w:end w:w="60" w:type="dxa"/>
            </w:tcMar>
          </w:tcPr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/>
                <w:color w:val="64717B"/>
                <w:sz w:val="15"/>
              </w:rPr>
              <w:t>Jan 2026 – Dec 2027</w:t>
            </w:r>
          </w:p>
        </w:tc>
        <w:tc>
          <w:tcPr>
            <w:tcW w:type="dxa" w:w="8079"/>
            <w:vAlign w:val="top"/>
            <w:tcMar>
              <w:top w:w="2" w:type="dxa"/>
              <w:start w:w="0" w:type="dxa"/>
              <w:bottom w:w="8" w:type="dxa"/>
              <w:end w:w="0" w:type="dxa"/>
            </w:tcMar>
          </w:tcPr>
          <w:p>
            <w:pPr>
              <w:keepNext/>
              <w:spacing w:before="0" w:after="20" w:line="259" w:lineRule="auto"/>
            </w:pPr>
            <w:r>
              <w:rPr>
                <w:rFonts w:ascii="Arial" w:hAnsi="Arial" w:eastAsia="Microsoft YaHei"/>
                <w:b/>
                <w:color w:val="1B2837"/>
                <w:sz w:val="17"/>
              </w:rPr>
              <w:t>Multi-source Spatiotemporal Evolution Mapping and Intelligent Decision-Making for Historic Urban Landscapes</w:t>
            </w:r>
          </w:p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 w:val="0"/>
                <w:color w:val="64717B"/>
                <w:sz w:val="16"/>
              </w:rPr>
              <w:t>Tongxin Urban Renewal Education Fund, Southeast University, Principal Investigator, Ongoing</w:t>
            </w:r>
          </w:p>
        </w:tc>
      </w:tr>
    </w:tbl>
    <w:p>
      <w:pPr>
        <w:keepNext/>
        <w:spacing w:before="104" w:after="72" w:line="240" w:lineRule="auto"/>
        <w:pBdr>
          <w:bottom w:val="single" w:sz="4" w:color="D9E2E9" w:space="4"/>
        </w:pBdr>
      </w:pPr>
      <w:r>
        <w:rPr>
          <w:rFonts w:ascii="Arial" w:hAnsi="Arial" w:eastAsia="Microsoft YaHei"/>
          <w:b/>
          <w:color w:val="1F435B"/>
          <w:sz w:val="18"/>
        </w:rPr>
        <w:t>ACADEMIC PAPERS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013"/>
        <w:gridCol w:w="8079"/>
      </w:tblGrid>
      <w:tr>
        <w:trPr>
          <w:cantSplit/>
        </w:trPr>
        <w:tc>
          <w:tcPr>
            <w:tcW w:type="dxa" w:w="2013"/>
            <w:vAlign w:val="top"/>
            <w:tcMar>
              <w:top w:w="2" w:type="dxa"/>
              <w:start w:w="0" w:type="dxa"/>
              <w:bottom w:w="8" w:type="dxa"/>
              <w:end w:w="60" w:type="dxa"/>
            </w:tcMar>
          </w:tcPr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/>
                <w:color w:val="64717B"/>
                <w:sz w:val="15"/>
              </w:rPr>
              <w:t>21 Oct 2026</w:t>
            </w:r>
          </w:p>
        </w:tc>
        <w:tc>
          <w:tcPr>
            <w:tcW w:type="dxa" w:w="8079"/>
            <w:vAlign w:val="top"/>
            <w:tcMar>
              <w:top w:w="2" w:type="dxa"/>
              <w:start w:w="0" w:type="dxa"/>
              <w:bottom w:w="8" w:type="dxa"/>
              <w:end w:w="0" w:type="dxa"/>
            </w:tcMar>
          </w:tcPr>
          <w:p>
            <w:pPr>
              <w:keepNext/>
              <w:spacing w:before="0" w:after="20" w:line="259" w:lineRule="auto"/>
            </w:pPr>
            <w:r>
              <w:rPr>
                <w:rFonts w:ascii="Arial" w:hAnsi="Arial" w:eastAsia="Microsoft YaHei"/>
                <w:b/>
                <w:color w:val="1B2837"/>
                <w:sz w:val="17"/>
              </w:rPr>
              <w:t>Identifying Relational Similarities in Living Historic Settlements: A Spatio-Temporal Graph Study of 8,155 Chinese Traditional Villages</w:t>
            </w:r>
          </w:p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 w:val="0"/>
                <w:color w:val="64717B"/>
                <w:sz w:val="16"/>
              </w:rPr>
              <w:t>22nd ICOMOS General Assembly and Scientific Symposium (ICOMOS GA 2026), Oral Presentation, Kuching, Malaysia.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013"/>
        <w:gridCol w:w="8079"/>
      </w:tblGrid>
      <w:tr>
        <w:trPr>
          <w:cantSplit/>
        </w:trPr>
        <w:tc>
          <w:tcPr>
            <w:tcW w:type="dxa" w:w="2013"/>
            <w:vAlign w:val="top"/>
            <w:tcMar>
              <w:top w:w="2" w:type="dxa"/>
              <w:start w:w="0" w:type="dxa"/>
              <w:bottom w:w="8" w:type="dxa"/>
              <w:end w:w="60" w:type="dxa"/>
            </w:tcMar>
          </w:tcPr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/>
                <w:color w:val="64717B"/>
                <w:sz w:val="15"/>
              </w:rPr>
              <w:t>18 Jun 2025</w:t>
            </w:r>
          </w:p>
        </w:tc>
        <w:tc>
          <w:tcPr>
            <w:tcW w:type="dxa" w:w="8079"/>
            <w:vAlign w:val="top"/>
            <w:tcMar>
              <w:top w:w="2" w:type="dxa"/>
              <w:start w:w="0" w:type="dxa"/>
              <w:bottom w:w="8" w:type="dxa"/>
              <w:end w:w="0" w:type="dxa"/>
            </w:tcMar>
          </w:tcPr>
          <w:p>
            <w:pPr>
              <w:keepNext/>
              <w:spacing w:before="0" w:after="20" w:line="259" w:lineRule="auto"/>
            </w:pPr>
            <w:r>
              <w:rPr>
                <w:rFonts w:ascii="Arial" w:hAnsi="Arial" w:eastAsia="Microsoft YaHei"/>
                <w:b/>
                <w:color w:val="1B2837"/>
                <w:sz w:val="17"/>
              </w:rPr>
              <w:t>Behavior-oriented Urban Spatial Form Optimization Driven by Operations Research Algorithms: A Case Study of a Mixed-Use Residential Community in Nanjing</w:t>
            </w:r>
          </w:p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 w:val="0"/>
                <w:color w:val="64717B"/>
                <w:sz w:val="16"/>
              </w:rPr>
              <w:t>32nd International Seminar on Urban Form (ISUF 2025), Oral Presentation &amp; Full Paper, Turin, Italy.</w:t>
            </w:r>
          </w:p>
        </w:tc>
      </w:tr>
    </w:tbl>
    <w:p>
      <w:pPr>
        <w:keepNext/>
        <w:spacing w:before="104" w:after="72" w:line="240" w:lineRule="auto"/>
        <w:pBdr>
          <w:bottom w:val="single" w:sz="4" w:color="D9E2E9" w:space="4"/>
        </w:pBdr>
      </w:pPr>
      <w:r>
        <w:rPr>
          <w:rFonts w:ascii="Arial" w:hAnsi="Arial" w:eastAsia="Microsoft YaHei"/>
          <w:b/>
          <w:color w:val="1F435B"/>
          <w:sz w:val="18"/>
        </w:rPr>
        <w:t>PROFESSIONAL EXPERIENCE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013"/>
        <w:gridCol w:w="8079"/>
      </w:tblGrid>
      <w:tr>
        <w:trPr>
          <w:cantSplit/>
        </w:trPr>
        <w:tc>
          <w:tcPr>
            <w:tcW w:type="dxa" w:w="2013"/>
            <w:vAlign w:val="top"/>
            <w:tcMar>
              <w:top w:w="2" w:type="dxa"/>
              <w:start w:w="0" w:type="dxa"/>
              <w:bottom w:w="8" w:type="dxa"/>
              <w:end w:w="60" w:type="dxa"/>
            </w:tcMar>
          </w:tcPr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/>
                <w:color w:val="64717B"/>
                <w:sz w:val="15"/>
              </w:rPr>
              <w:t>Jul 2023 – Sep 2023</w:t>
            </w:r>
          </w:p>
        </w:tc>
        <w:tc>
          <w:tcPr>
            <w:tcW w:type="dxa" w:w="8079"/>
            <w:vAlign w:val="top"/>
            <w:tcMar>
              <w:top w:w="2" w:type="dxa"/>
              <w:start w:w="0" w:type="dxa"/>
              <w:bottom w:w="8" w:type="dxa"/>
              <w:end w:w="0" w:type="dxa"/>
            </w:tcMar>
          </w:tcPr>
          <w:p>
            <w:pPr>
              <w:keepNext/>
              <w:spacing w:before="0" w:after="20" w:line="259" w:lineRule="auto"/>
            </w:pPr>
            <w:r>
              <w:rPr>
                <w:rFonts w:ascii="Arial" w:hAnsi="Arial" w:eastAsia="Microsoft YaHei"/>
                <w:b/>
                <w:color w:val="1B2837"/>
                <w:sz w:val="17"/>
              </w:rPr>
              <w:t>Jiakun Architects</w:t>
            </w:r>
          </w:p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 w:val="0"/>
                <w:color w:val="64717B"/>
                <w:sz w:val="16"/>
              </w:rPr>
              <w:t>Intern, Chengdu, China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013"/>
        <w:gridCol w:w="8079"/>
      </w:tblGrid>
      <w:tr>
        <w:trPr>
          <w:cantSplit/>
        </w:trPr>
        <w:tc>
          <w:tcPr>
            <w:tcW w:type="dxa" w:w="2013"/>
            <w:vAlign w:val="top"/>
            <w:tcMar>
              <w:top w:w="2" w:type="dxa"/>
              <w:start w:w="0" w:type="dxa"/>
              <w:bottom w:w="8" w:type="dxa"/>
              <w:end w:w="60" w:type="dxa"/>
            </w:tcMar>
          </w:tcPr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/>
                <w:color w:val="64717B"/>
                <w:sz w:val="15"/>
              </w:rPr>
              <w:t>Oct 2022 – Jun 2023</w:t>
            </w:r>
          </w:p>
        </w:tc>
        <w:tc>
          <w:tcPr>
            <w:tcW w:type="dxa" w:w="8079"/>
            <w:vAlign w:val="top"/>
            <w:tcMar>
              <w:top w:w="2" w:type="dxa"/>
              <w:start w:w="0" w:type="dxa"/>
              <w:bottom w:w="8" w:type="dxa"/>
              <w:end w:w="0" w:type="dxa"/>
            </w:tcMar>
          </w:tcPr>
          <w:p>
            <w:pPr>
              <w:keepNext/>
              <w:spacing w:before="0" w:after="20" w:line="259" w:lineRule="auto"/>
            </w:pPr>
            <w:r>
              <w:rPr>
                <w:rFonts w:ascii="Arial" w:hAnsi="Arial" w:eastAsia="Microsoft YaHei"/>
                <w:b/>
                <w:color w:val="1B2837"/>
                <w:sz w:val="17"/>
              </w:rPr>
              <w:t>UNESCO–ICCROM Asian Academy for Heritage Management (AAHM)</w:t>
            </w:r>
          </w:p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 w:val="0"/>
                <w:color w:val="64717B"/>
                <w:sz w:val="16"/>
              </w:rPr>
              <w:t>Intern, Nanjing, China</w:t>
            </w:r>
          </w:p>
        </w:tc>
      </w:tr>
    </w:tbl>
    <w:p>
      <w:pPr>
        <w:keepNext/>
        <w:spacing w:before="104" w:after="72" w:line="240" w:lineRule="auto"/>
        <w:pBdr>
          <w:bottom w:val="single" w:sz="4" w:color="D9E2E9" w:space="4"/>
        </w:pBdr>
      </w:pPr>
      <w:r>
        <w:rPr>
          <w:rFonts w:ascii="Arial" w:hAnsi="Arial" w:eastAsia="Microsoft YaHei"/>
          <w:b/>
          <w:color w:val="1F435B"/>
          <w:sz w:val="18"/>
        </w:rPr>
        <w:t>TEACHING EXPERIENCE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013"/>
        <w:gridCol w:w="8079"/>
      </w:tblGrid>
      <w:tr>
        <w:trPr>
          <w:cantSplit/>
        </w:trPr>
        <w:tc>
          <w:tcPr>
            <w:tcW w:type="dxa" w:w="2013"/>
            <w:vAlign w:val="top"/>
            <w:tcMar>
              <w:top w:w="2" w:type="dxa"/>
              <w:start w:w="0" w:type="dxa"/>
              <w:bottom w:w="8" w:type="dxa"/>
              <w:end w:w="60" w:type="dxa"/>
            </w:tcMar>
          </w:tcPr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/>
                <w:color w:val="64717B"/>
                <w:sz w:val="15"/>
              </w:rPr>
              <w:t>Jun 2026 - Jul 2026</w:t>
            </w:r>
          </w:p>
        </w:tc>
        <w:tc>
          <w:tcPr>
            <w:tcW w:type="dxa" w:w="8079"/>
            <w:vAlign w:val="top"/>
            <w:tcMar>
              <w:top w:w="2" w:type="dxa"/>
              <w:start w:w="0" w:type="dxa"/>
              <w:bottom w:w="8" w:type="dxa"/>
              <w:end w:w="0" w:type="dxa"/>
            </w:tcMar>
          </w:tcPr>
          <w:p>
            <w:pPr>
              <w:keepNext/>
              <w:spacing w:before="0" w:after="20" w:line="259" w:lineRule="auto"/>
            </w:pPr>
            <w:r>
              <w:rPr>
                <w:rFonts w:ascii="Arial" w:hAnsi="Arial" w:eastAsia="Microsoft YaHei"/>
                <w:b/>
                <w:color w:val="1B2837"/>
                <w:sz w:val="17"/>
              </w:rPr>
              <w:t>DigitalFUTURES 2026 Summer Workshop - Weaving Dreams: Knowledge Decoding and AI Reimagining of Historic Districts</w:t>
            </w:r>
          </w:p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 w:val="0"/>
                <w:color w:val="64717B"/>
                <w:sz w:val="16"/>
              </w:rPr>
              <w:t>Teaching Assistant, Tongji University, Shanghai, China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013"/>
        <w:gridCol w:w="8079"/>
      </w:tblGrid>
      <w:tr>
        <w:trPr>
          <w:cantSplit/>
        </w:trPr>
        <w:tc>
          <w:tcPr>
            <w:tcW w:type="dxa" w:w="2013"/>
            <w:vAlign w:val="top"/>
            <w:tcMar>
              <w:top w:w="2" w:type="dxa"/>
              <w:start w:w="0" w:type="dxa"/>
              <w:bottom w:w="8" w:type="dxa"/>
              <w:end w:w="60" w:type="dxa"/>
            </w:tcMar>
          </w:tcPr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/>
                <w:color w:val="64717B"/>
                <w:sz w:val="15"/>
              </w:rPr>
              <w:t>2026-2027 Fall</w:t>
            </w:r>
          </w:p>
        </w:tc>
        <w:tc>
          <w:tcPr>
            <w:tcW w:type="dxa" w:w="8079"/>
            <w:vAlign w:val="top"/>
            <w:tcMar>
              <w:top w:w="2" w:type="dxa"/>
              <w:start w:w="0" w:type="dxa"/>
              <w:bottom w:w="8" w:type="dxa"/>
              <w:end w:w="0" w:type="dxa"/>
            </w:tcMar>
          </w:tcPr>
          <w:p>
            <w:pPr>
              <w:keepNext/>
              <w:spacing w:before="0" w:after="20" w:line="259" w:lineRule="auto"/>
            </w:pPr>
            <w:r>
              <w:rPr>
                <w:rFonts w:ascii="Arial" w:hAnsi="Arial" w:eastAsia="Microsoft YaHei"/>
                <w:b/>
                <w:color w:val="1B2837"/>
                <w:sz w:val="17"/>
              </w:rPr>
              <w:t>Graduate Architecture Design Studio - Urban Design for the Valens Aqueduct and Its Surrounding Historic Urban Area, Istanbul</w:t>
            </w:r>
          </w:p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 w:val="0"/>
                <w:color w:val="64717B"/>
                <w:sz w:val="16"/>
              </w:rPr>
              <w:t>Teaching Assistant, Southeast University, Nanjing, China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013"/>
        <w:gridCol w:w="8079"/>
      </w:tblGrid>
      <w:tr>
        <w:trPr>
          <w:cantSplit/>
        </w:trPr>
        <w:tc>
          <w:tcPr>
            <w:tcW w:type="dxa" w:w="2013"/>
            <w:vAlign w:val="top"/>
            <w:tcMar>
              <w:top w:w="2" w:type="dxa"/>
              <w:start w:w="0" w:type="dxa"/>
              <w:bottom w:w="8" w:type="dxa"/>
              <w:end w:w="60" w:type="dxa"/>
            </w:tcMar>
          </w:tcPr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/>
                <w:color w:val="64717B"/>
                <w:sz w:val="15"/>
              </w:rPr>
              <w:t>2024-2025 Fall</w:t>
            </w:r>
          </w:p>
        </w:tc>
        <w:tc>
          <w:tcPr>
            <w:tcW w:type="dxa" w:w="8079"/>
            <w:vAlign w:val="top"/>
            <w:tcMar>
              <w:top w:w="2" w:type="dxa"/>
              <w:start w:w="0" w:type="dxa"/>
              <w:bottom w:w="8" w:type="dxa"/>
              <w:end w:w="0" w:type="dxa"/>
            </w:tcMar>
          </w:tcPr>
          <w:p>
            <w:pPr>
              <w:keepNext/>
              <w:spacing w:before="0" w:after="20" w:line="259" w:lineRule="auto"/>
            </w:pPr>
            <w:r>
              <w:rPr>
                <w:rFonts w:ascii="Arial" w:hAnsi="Arial" w:eastAsia="Microsoft YaHei"/>
                <w:b/>
                <w:color w:val="1B2837"/>
                <w:sz w:val="17"/>
              </w:rPr>
              <w:t>Graduate Course - Introduction to AI for Architects</w:t>
            </w:r>
          </w:p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 w:val="0"/>
                <w:color w:val="64717B"/>
                <w:sz w:val="16"/>
              </w:rPr>
              <w:t>Teaching Assistant, Southeast University, Nanjing, China</w:t>
            </w:r>
          </w:p>
        </w:tc>
      </w:tr>
    </w:tbl>
    <w:p>
      <w:pPr>
        <w:keepNext/>
        <w:spacing w:before="104" w:after="72" w:line="240" w:lineRule="auto"/>
        <w:pBdr>
          <w:bottom w:val="single" w:sz="4" w:color="D9E2E9" w:space="4"/>
        </w:pBdr>
      </w:pPr>
      <w:r>
        <w:rPr>
          <w:rFonts w:ascii="Arial" w:hAnsi="Arial" w:eastAsia="Microsoft YaHei"/>
          <w:b/>
          <w:color w:val="1F435B"/>
          <w:sz w:val="18"/>
        </w:rPr>
        <w:t>SELECTED SCHOLARSHIPS, AWARDS &amp; HONORS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013"/>
        <w:gridCol w:w="8079"/>
      </w:tblGrid>
      <w:tr>
        <w:trPr>
          <w:cantSplit/>
        </w:trPr>
        <w:tc>
          <w:tcPr>
            <w:tcW w:type="dxa" w:w="2013"/>
            <w:vAlign w:val="top"/>
            <w:tcMar>
              <w:top w:w="2" w:type="dxa"/>
              <w:start w:w="0" w:type="dxa"/>
              <w:bottom w:w="8" w:type="dxa"/>
              <w:end w:w="60" w:type="dxa"/>
            </w:tcMar>
          </w:tcPr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/>
                <w:color w:val="64717B"/>
                <w:sz w:val="15"/>
              </w:rPr>
              <w:t>2024</w:t>
            </w:r>
          </w:p>
        </w:tc>
        <w:tc>
          <w:tcPr>
            <w:tcW w:type="dxa" w:w="8079"/>
            <w:vAlign w:val="top"/>
            <w:tcMar>
              <w:top w:w="2" w:type="dxa"/>
              <w:start w:w="0" w:type="dxa"/>
              <w:bottom w:w="8" w:type="dxa"/>
              <w:end w:w="0" w:type="dxa"/>
            </w:tcMar>
          </w:tcPr>
          <w:p>
            <w:pPr>
              <w:keepNext/>
              <w:spacing w:before="0" w:after="20" w:line="259" w:lineRule="auto"/>
            </w:pPr>
            <w:r>
              <w:rPr>
                <w:rFonts w:ascii="Arial" w:hAnsi="Arial" w:eastAsia="Microsoft YaHei"/>
                <w:b/>
                <w:color w:val="1B2837"/>
                <w:sz w:val="17"/>
              </w:rPr>
              <w:t>Zhishan Excellence Selection Programme for Direct-entry Ph.D. Students</w:t>
            </w:r>
          </w:p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 w:val="0"/>
                <w:color w:val="64717B"/>
                <w:sz w:val="16"/>
              </w:rPr>
              <w:t>Southeast University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013"/>
        <w:gridCol w:w="8079"/>
      </w:tblGrid>
      <w:tr>
        <w:trPr>
          <w:cantSplit/>
        </w:trPr>
        <w:tc>
          <w:tcPr>
            <w:tcW w:type="dxa" w:w="2013"/>
            <w:vAlign w:val="top"/>
            <w:tcMar>
              <w:top w:w="2" w:type="dxa"/>
              <w:start w:w="0" w:type="dxa"/>
              <w:bottom w:w="8" w:type="dxa"/>
              <w:end w:w="60" w:type="dxa"/>
            </w:tcMar>
          </w:tcPr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/>
                <w:color w:val="64717B"/>
                <w:sz w:val="15"/>
              </w:rPr>
              <w:t>2022</w:t>
            </w:r>
          </w:p>
        </w:tc>
        <w:tc>
          <w:tcPr>
            <w:tcW w:type="dxa" w:w="8079"/>
            <w:vAlign w:val="top"/>
            <w:tcMar>
              <w:top w:w="2" w:type="dxa"/>
              <w:start w:w="0" w:type="dxa"/>
              <w:bottom w:w="8" w:type="dxa"/>
              <w:end w:w="0" w:type="dxa"/>
            </w:tcMar>
          </w:tcPr>
          <w:p>
            <w:pPr>
              <w:keepNext/>
              <w:spacing w:before="0" w:after="20" w:line="259" w:lineRule="auto"/>
            </w:pPr>
            <w:r>
              <w:rPr>
                <w:rFonts w:ascii="Arial" w:hAnsi="Arial" w:eastAsia="Microsoft YaHei"/>
                <w:b/>
                <w:color w:val="1B2837"/>
                <w:sz w:val="17"/>
              </w:rPr>
              <w:t>China National Scholarship</w:t>
            </w:r>
          </w:p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 w:val="0"/>
                <w:color w:val="64717B"/>
                <w:sz w:val="16"/>
              </w:rPr>
              <w:t>Ministry of Education of the People's Republic of China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013"/>
        <w:gridCol w:w="8079"/>
      </w:tblGrid>
      <w:tr>
        <w:trPr>
          <w:cantSplit/>
        </w:trPr>
        <w:tc>
          <w:tcPr>
            <w:tcW w:type="dxa" w:w="2013"/>
            <w:vAlign w:val="top"/>
            <w:tcMar>
              <w:top w:w="2" w:type="dxa"/>
              <w:start w:w="0" w:type="dxa"/>
              <w:bottom w:w="8" w:type="dxa"/>
              <w:end w:w="60" w:type="dxa"/>
            </w:tcMar>
          </w:tcPr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/>
                <w:color w:val="64717B"/>
                <w:sz w:val="15"/>
              </w:rPr>
              <w:t>2022</w:t>
            </w:r>
          </w:p>
        </w:tc>
        <w:tc>
          <w:tcPr>
            <w:tcW w:type="dxa" w:w="8079"/>
            <w:vAlign w:val="top"/>
            <w:tcMar>
              <w:top w:w="2" w:type="dxa"/>
              <w:start w:w="0" w:type="dxa"/>
              <w:bottom w:w="8" w:type="dxa"/>
              <w:end w:w="0" w:type="dxa"/>
            </w:tcMar>
          </w:tcPr>
          <w:p>
            <w:pPr>
              <w:keepNext/>
              <w:spacing w:before="0" w:after="20" w:line="259" w:lineRule="auto"/>
            </w:pPr>
            <w:r>
              <w:rPr>
                <w:rFonts w:ascii="Arial" w:hAnsi="Arial" w:eastAsia="Microsoft YaHei"/>
                <w:b/>
                <w:color w:val="1B2837"/>
                <w:sz w:val="17"/>
              </w:rPr>
              <w:t>Cheng Taining Award Fund</w:t>
            </w:r>
          </w:p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 w:val="0"/>
                <w:color w:val="64717B"/>
                <w:sz w:val="16"/>
              </w:rPr>
              <w:t>Architectural Design and Theory Research Center, Southeast University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013"/>
        <w:gridCol w:w="8079"/>
      </w:tblGrid>
      <w:tr>
        <w:trPr>
          <w:cantSplit/>
        </w:trPr>
        <w:tc>
          <w:tcPr>
            <w:tcW w:type="dxa" w:w="2013"/>
            <w:vAlign w:val="top"/>
            <w:tcMar>
              <w:top w:w="2" w:type="dxa"/>
              <w:start w:w="0" w:type="dxa"/>
              <w:bottom w:w="8" w:type="dxa"/>
              <w:end w:w="60" w:type="dxa"/>
            </w:tcMar>
          </w:tcPr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/>
                <w:color w:val="64717B"/>
                <w:sz w:val="15"/>
              </w:rPr>
              <w:t>2019, 2020</w:t>
            </w:r>
          </w:p>
        </w:tc>
        <w:tc>
          <w:tcPr>
            <w:tcW w:type="dxa" w:w="8079"/>
            <w:vAlign w:val="top"/>
            <w:tcMar>
              <w:top w:w="2" w:type="dxa"/>
              <w:start w:w="0" w:type="dxa"/>
              <w:bottom w:w="8" w:type="dxa"/>
              <w:end w:w="0" w:type="dxa"/>
            </w:tcMar>
          </w:tcPr>
          <w:p>
            <w:pPr>
              <w:keepNext/>
              <w:spacing w:before="0" w:after="20" w:line="259" w:lineRule="auto"/>
            </w:pPr>
            <w:r>
              <w:rPr>
                <w:rFonts w:ascii="Arial" w:hAnsi="Arial" w:eastAsia="Microsoft YaHei"/>
                <w:b/>
                <w:color w:val="1B2837"/>
                <w:sz w:val="17"/>
              </w:rPr>
              <w:t>Cyrus Tang Scholarship</w:t>
            </w:r>
          </w:p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 w:val="0"/>
                <w:color w:val="64717B"/>
                <w:sz w:val="16"/>
              </w:rPr>
              <w:t>Southeast University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013"/>
        <w:gridCol w:w="8079"/>
      </w:tblGrid>
      <w:tr>
        <w:trPr>
          <w:cantSplit/>
        </w:trPr>
        <w:tc>
          <w:tcPr>
            <w:tcW w:type="dxa" w:w="2013"/>
            <w:vAlign w:val="top"/>
            <w:tcMar>
              <w:top w:w="2" w:type="dxa"/>
              <w:start w:w="0" w:type="dxa"/>
              <w:bottom w:w="8" w:type="dxa"/>
              <w:end w:w="60" w:type="dxa"/>
            </w:tcMar>
          </w:tcPr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/>
                <w:color w:val="64717B"/>
                <w:sz w:val="15"/>
              </w:rPr>
              <w:t>2019</w:t>
            </w:r>
          </w:p>
        </w:tc>
        <w:tc>
          <w:tcPr>
            <w:tcW w:type="dxa" w:w="8079"/>
            <w:vAlign w:val="top"/>
            <w:tcMar>
              <w:top w:w="2" w:type="dxa"/>
              <w:start w:w="0" w:type="dxa"/>
              <w:bottom w:w="8" w:type="dxa"/>
              <w:end w:w="0" w:type="dxa"/>
            </w:tcMar>
          </w:tcPr>
          <w:p>
            <w:pPr>
              <w:keepNext/>
              <w:spacing w:before="0" w:after="20" w:line="259" w:lineRule="auto"/>
            </w:pPr>
            <w:r>
              <w:rPr>
                <w:rFonts w:ascii="Arial" w:hAnsi="Arial" w:eastAsia="Microsoft YaHei"/>
                <w:b/>
                <w:color w:val="1B2837"/>
                <w:sz w:val="17"/>
              </w:rPr>
              <w:t>Outstanding Student (Three-Good Student)</w:t>
            </w:r>
          </w:p>
          <w:p>
            <w:pPr>
              <w:keepNext w:val="0"/>
              <w:spacing w:before="0" w:after="0" w:line="259" w:lineRule="auto"/>
            </w:pPr>
            <w:r>
              <w:rPr>
                <w:rFonts w:ascii="Arial" w:hAnsi="Arial" w:eastAsia="Microsoft YaHei"/>
                <w:b w:val="0"/>
                <w:color w:val="64717B"/>
                <w:sz w:val="16"/>
              </w:rPr>
              <w:t>Southeast University</w:t>
            </w:r>
          </w:p>
        </w:tc>
      </w:tr>
    </w:tbl>
    <w:p>
      <w:pPr>
        <w:keepNext/>
        <w:spacing w:before="104" w:after="72" w:line="240" w:lineRule="auto"/>
        <w:pBdr>
          <w:bottom w:val="single" w:sz="4" w:color="D9E2E9" w:space="4"/>
        </w:pBdr>
      </w:pPr>
      <w:r>
        <w:rPr>
          <w:rFonts w:ascii="Arial" w:hAnsi="Arial" w:eastAsia="Microsoft YaHei"/>
          <w:b/>
          <w:color w:val="1F435B"/>
          <w:sz w:val="18"/>
        </w:rPr>
        <w:t>RESEARCH METHODS &amp; SKILLS</w:t>
      </w:r>
    </w:p>
    <w:p>
      <w:pPr>
        <w:keepNext w:val="0"/>
        <w:spacing w:before="0" w:after="50" w:line="257" w:lineRule="auto"/>
      </w:pPr>
      <w:r>
        <w:rPr>
          <w:rFonts w:ascii="Arial" w:hAnsi="Arial" w:eastAsia="Microsoft YaHei"/>
          <w:b w:val="0"/>
          <w:color w:val="1B2837"/>
          <w:sz w:val="17"/>
        </w:rPr>
        <w:t>Graph Learning &amp; Knowledge Representation: Graph Neural Networks (GNNs), Temporal Knowledge Graphs (TKGs).</w:t>
      </w:r>
    </w:p>
    <w:p>
      <w:pPr>
        <w:keepNext w:val="0"/>
        <w:spacing w:before="0" w:after="50" w:line="257" w:lineRule="auto"/>
      </w:pPr>
      <w:r>
        <w:rPr>
          <w:rFonts w:ascii="Arial" w:hAnsi="Arial" w:eastAsia="Microsoft YaHei"/>
          <w:b w:val="0"/>
          <w:color w:val="1B2837"/>
          <w:sz w:val="17"/>
        </w:rPr>
        <w:t>Spatial &amp; Computational Analysis: Geographic Information Systems (GIS), Remote Sensing, Spatial Network Analysis, Spatio-temporal Data Modelling.</w:t>
      </w:r>
    </w:p>
    <w:p>
      <w:pPr>
        <w:keepNext/>
        <w:spacing w:before="104" w:after="72" w:line="240" w:lineRule="auto"/>
        <w:pBdr>
          <w:bottom w:val="single" w:sz="4" w:color="D9E2E9" w:space="4"/>
        </w:pBdr>
      </w:pPr>
      <w:r>
        <w:rPr>
          <w:rFonts w:ascii="Arial" w:hAnsi="Arial" w:eastAsia="Microsoft YaHei"/>
          <w:b/>
          <w:color w:val="1F435B"/>
          <w:sz w:val="18"/>
        </w:rPr>
        <w:t>LANGUAGES</w:t>
      </w:r>
    </w:p>
    <w:p>
      <w:pPr>
        <w:keepNext w:val="0"/>
        <w:spacing w:before="0" w:after="50" w:line="257" w:lineRule="auto"/>
      </w:pPr>
      <w:r>
        <w:rPr>
          <w:rFonts w:ascii="Arial" w:hAnsi="Arial" w:eastAsia="Microsoft YaHei"/>
          <w:b w:val="0"/>
          <w:color w:val="1B2837"/>
          <w:sz w:val="17"/>
        </w:rPr>
        <w:t>English: CET-6 676/710; CET-4 599/710</w:t>
      </w:r>
    </w:p>
    <w:sectPr w:rsidR="00FC693F" w:rsidRPr="0006063C" w:rsidSect="00034616">
      <w:pgSz w:w="11906" w:h="16838"/>
      <w:pgMar w:top="624" w:right="879" w:bottom="624" w:left="879" w:header="227" w:footer="22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line="257" w:lineRule="auto"/>
    </w:pPr>
    <w:rPr>
      <w:rFonts w:ascii="Arial" w:hAnsi="Arial" w:eastAsia="Microsoft YaHei"/>
      <w:sz w:val="17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